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Default Extension="xlsm" ContentType="application/vnd.ms-excel.sheet.macroEnabled.12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F3" w:rsidRPr="00FA218F" w:rsidRDefault="00F739F3" w:rsidP="00F739F3">
      <w:pPr>
        <w:ind w:left="284" w:right="425"/>
        <w:jc w:val="center"/>
        <w:rPr>
          <w:b/>
        </w:rPr>
      </w:pPr>
      <w:r w:rsidRPr="00FA218F">
        <w:rPr>
          <w:noProof/>
        </w:rPr>
        <w:pict>
          <v:rect id="_x0000_s1785" style="position:absolute;left:0;text-align:left;margin-left:0;margin-top:0;width:509.65pt;height:753.95pt;z-index:251657216" filled="f" strokecolor="#339"/>
        </w:pic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jc w:val="center"/>
        <w:rPr>
          <w:b/>
          <w:color w:val="000080"/>
        </w:rPr>
      </w:pPr>
      <w:r w:rsidRPr="00FA218F">
        <w:rPr>
          <w:color w:val="000080"/>
          <w:sz w:val="32"/>
        </w:rPr>
        <w:t>МЧС  РОССИИ</w:t>
      </w:r>
    </w:p>
    <w:p w:rsidR="00772D0C" w:rsidRPr="00FA218F" w:rsidRDefault="00927B91" w:rsidP="00772D0C">
      <w:pPr>
        <w:ind w:left="284" w:right="425"/>
        <w:jc w:val="center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1905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772D0C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>ОБСТАНОВКИ   С   ПОЖАРАМИ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И  ПОСЛЕДСТВИЙ  ОТ 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772D0C" w:rsidRPr="00FA218F" w:rsidRDefault="00772D0C" w:rsidP="00772D0C">
      <w:pPr>
        <w:pStyle w:val="6"/>
        <w:ind w:left="0" w:right="14"/>
      </w:pPr>
      <w:r w:rsidRPr="00FA218F">
        <w:t xml:space="preserve">Свердловской области </w:t>
      </w:r>
    </w:p>
    <w:p w:rsidR="00772D0C" w:rsidRPr="00FA218F" w:rsidRDefault="000F7BA2" w:rsidP="00772D0C">
      <w:pPr>
        <w:pStyle w:val="7"/>
        <w:spacing w:before="120"/>
        <w:ind w:left="0" w:right="14"/>
        <w:rPr>
          <w:i w:val="0"/>
          <w:iCs w:val="0"/>
          <w:sz w:val="36"/>
        </w:rPr>
      </w:pPr>
      <w:r>
        <w:rPr>
          <w:i w:val="0"/>
          <w:iCs w:val="0"/>
          <w:sz w:val="36"/>
          <w:lang w:val="en-US"/>
        </w:rPr>
        <w:t xml:space="preserve"> за 3 месяца 2018 года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  <w:r w:rsidRPr="00FA218F">
        <w:t>Екатеринбург</w:t>
      </w:r>
    </w:p>
    <w:p w:rsidR="00772D0C" w:rsidRPr="00FA218F" w:rsidRDefault="00772D0C" w:rsidP="00772D0C"/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223B7D" w:rsidRPr="00FA218F" w:rsidRDefault="00223B7D" w:rsidP="00A31A5F">
      <w:pPr>
        <w:rPr>
          <w:sz w:val="20"/>
          <w:szCs w:val="20"/>
        </w:rPr>
      </w:pPr>
    </w:p>
    <w:p w:rsidR="00646F1F" w:rsidRDefault="000F7BA2" w:rsidP="00CC7303">
      <w:pPr>
        <w:ind w:firstLine="72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За 3 месяца 2018 года на территории Свердловской области зарегистрировано 875 пожаров, стабильно к аналогичному периоду прошлого года</w:t>
      </w:r>
      <w:r w:rsidR="00646F1F">
        <w:rPr>
          <w:sz w:val="28"/>
          <w:szCs w:val="28"/>
        </w:rPr>
        <w:t>.</w:t>
      </w:r>
    </w:p>
    <w:p w:rsidR="000F7BA2" w:rsidRPr="000F7BA2" w:rsidRDefault="000F7BA2" w:rsidP="00CC7303">
      <w:pPr>
        <w:ind w:firstLine="72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При пожарах погибли 100 человек (увеличение на 6,4</w:t>
      </w:r>
      <w:r w:rsidR="00646F1F">
        <w:rPr>
          <w:sz w:val="28"/>
          <w:szCs w:val="28"/>
        </w:rPr>
        <w:t xml:space="preserve"> </w:t>
      </w:r>
      <w:r w:rsidRPr="000F7BA2">
        <w:rPr>
          <w:sz w:val="28"/>
          <w:szCs w:val="28"/>
        </w:rPr>
        <w:t>% в сравнении с АППГ), в том числе 7 детей (за аналогичный период прошлого года погибли 3 ребенка);</w:t>
      </w:r>
    </w:p>
    <w:p w:rsidR="000F7BA2" w:rsidRPr="000F7BA2" w:rsidRDefault="000F7BA2" w:rsidP="00CC7303">
      <w:pPr>
        <w:ind w:firstLine="72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87 жителей Свердловской области получили травмы различной степеней тяжести (снижение на 2 человека или на 2,2</w:t>
      </w:r>
      <w:r w:rsidR="00646F1F">
        <w:rPr>
          <w:sz w:val="28"/>
          <w:szCs w:val="28"/>
        </w:rPr>
        <w:t xml:space="preserve"> </w:t>
      </w:r>
      <w:r w:rsidRPr="000F7BA2">
        <w:rPr>
          <w:sz w:val="28"/>
          <w:szCs w:val="28"/>
        </w:rPr>
        <w:t>%));</w:t>
      </w:r>
    </w:p>
    <w:p w:rsidR="000F7BA2" w:rsidRPr="000F7BA2" w:rsidRDefault="000F7BA2" w:rsidP="00CC7303">
      <w:pPr>
        <w:ind w:firstLine="72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Материальный ущерб от пожаров и их последствий составил 79,1 млн.руб. (</w:t>
      </w:r>
      <w:r w:rsidR="00646F1F">
        <w:rPr>
          <w:sz w:val="28"/>
          <w:szCs w:val="28"/>
        </w:rPr>
        <w:t xml:space="preserve">снижение на </w:t>
      </w:r>
      <w:r w:rsidRPr="000F7BA2">
        <w:rPr>
          <w:sz w:val="28"/>
          <w:szCs w:val="28"/>
        </w:rPr>
        <w:t>56,1</w:t>
      </w:r>
      <w:r w:rsidR="00646F1F">
        <w:rPr>
          <w:sz w:val="28"/>
          <w:szCs w:val="28"/>
        </w:rPr>
        <w:t xml:space="preserve"> </w:t>
      </w:r>
      <w:r w:rsidRPr="000F7BA2">
        <w:rPr>
          <w:sz w:val="28"/>
          <w:szCs w:val="28"/>
        </w:rPr>
        <w:t>%));</w:t>
      </w:r>
    </w:p>
    <w:p w:rsidR="000F7BA2" w:rsidRDefault="000F7BA2" w:rsidP="00CC7303">
      <w:pPr>
        <w:ind w:firstLine="720"/>
        <w:jc w:val="both"/>
        <w:rPr>
          <w:sz w:val="28"/>
          <w:szCs w:val="28"/>
          <w:lang w:val="en-US"/>
        </w:rPr>
      </w:pPr>
      <w:r w:rsidRPr="000F7BA2">
        <w:rPr>
          <w:sz w:val="28"/>
          <w:szCs w:val="28"/>
        </w:rPr>
        <w:t xml:space="preserve">Зарегистрировано выездов пожарных подразделений на ликвидацию </w:t>
      </w:r>
      <w:r>
        <w:rPr>
          <w:sz w:val="28"/>
          <w:szCs w:val="28"/>
          <w:lang w:val="en-US"/>
        </w:rPr>
        <w:t>1165 загораний.</w:t>
      </w:r>
    </w:p>
    <w:p w:rsidR="005062DE" w:rsidRPr="00FA218F" w:rsidRDefault="005062DE" w:rsidP="00CC7303">
      <w:pPr>
        <w:ind w:firstLine="720"/>
        <w:jc w:val="both"/>
        <w:rPr>
          <w:sz w:val="16"/>
          <w:szCs w:val="16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34623E">
        <w:rPr>
          <w:b/>
          <w:sz w:val="28"/>
          <w:szCs w:val="28"/>
        </w:rPr>
        <w:t>Свердловской области</w:t>
      </w:r>
    </w:p>
    <w:p w:rsidR="00F1269F" w:rsidRPr="000F7BA2" w:rsidRDefault="00E95A61" w:rsidP="00C10735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14" o:spid="_x0000_s1898" type="#_x0000_t105" style="position:absolute;left:0;text-align:left;margin-left:185.25pt;margin-top:103.75pt;width:44.4pt;height:16.2pt;rotation:180;z-index:2516613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ME8EA&#10;AADbAAAADwAAAGRycy9kb3ducmV2LnhtbERPTWvCQBC9F/wPywi9NRulSImuohFB7KE16n3YHZNg&#10;djZk1xj/fbdQ6G0e73MWq8E2oqfO144VTJIUBLF2puZSwfm0e/sA4QOywcYxKXiSh9Vy9LLAzLgH&#10;H6kvQiliCPsMFVQhtJmUXldk0SeuJY7c1XUWQ4RdKU2HjxhuGzlN05m0WHNsqLClvCJ9K+5WwaE4&#10;fzY65MUaL/vt7Ft/beq8V+p1PKznIAIN4V/8596bOP8dfn+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mjBPBAAAA2wAAAA8AAAAAAAAAAAAAAAAAmAIAAGRycy9kb3du&#10;cmV2LnhtbFBLBQYAAAAABAAEAPUAAACGAwAAAAA=&#10;" adj="11545,19086" fillcolor="red"/>
        </w:pict>
      </w:r>
      <w:r w:rsidRPr="00E95A61">
        <w:rPr>
          <w:sz w:val="28"/>
          <w:szCs w:val="28"/>
        </w:rPr>
        <w:drawing>
          <wp:inline distT="0" distB="0" distL="0" distR="0">
            <wp:extent cx="6265545" cy="273050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CC7303" w:rsidRPr="000F7BA2" w:rsidRDefault="000F7BA2" w:rsidP="00CC7303">
      <w:pPr>
        <w:ind w:firstLine="72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Подразделениями пожарной охраны на пожарах спасено 363 и эвакуировано 1259 человек, а так же спасено материальных ценностей на сумму более 6,77 млн. рублей.</w:t>
      </w:r>
    </w:p>
    <w:p w:rsidR="001C4F2D" w:rsidRPr="00C0725E" w:rsidRDefault="000F7BA2" w:rsidP="001C4F2D">
      <w:pPr>
        <w:ind w:firstLine="709"/>
        <w:jc w:val="both"/>
        <w:rPr>
          <w:sz w:val="28"/>
          <w:szCs w:val="28"/>
        </w:rPr>
      </w:pPr>
      <w:r w:rsidRPr="000F7BA2">
        <w:rPr>
          <w:sz w:val="28"/>
          <w:szCs w:val="28"/>
        </w:rPr>
        <w:t xml:space="preserve">Ежедневно в Свердловской области происходило 9,8 пожаров, при которых погибали 1,1 человек и 1,0 человек получали травмы, огнем уничтожалось 2,7 строений, 0,3 единицы автотракторной техники. </w:t>
      </w:r>
      <w:r w:rsidRPr="00C0725E">
        <w:rPr>
          <w:sz w:val="28"/>
          <w:szCs w:val="28"/>
        </w:rPr>
        <w:t>Ежедневный материальный ущерб составил 0,9 млн. рублей.</w:t>
      </w: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C0725E" w:rsidRDefault="00C072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Распределение количества пожаров по месяцам</w:t>
      </w:r>
    </w:p>
    <w:p w:rsidR="0010181E" w:rsidRPr="00FA218F" w:rsidRDefault="006D467C" w:rsidP="001018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35" o:spid="_x0000_s1900" style="position:absolute;left:0;text-align:left;margin-left:53.25pt;margin-top:120.65pt;width:58.6pt;height:10.35pt;z-index:251664384" coordsize="7442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">
            <v:shape id="Выгнутая вверх стрелка 19" o:spid="_x0000_s1901" type="#_x0000_t105" style="position:absolute;width:2584;height:131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dmcMA&#10;AADbAAAADwAAAGRycy9kb3ducmV2LnhtbERPS2sCMRC+F/wPYYReRLMtaO3WKLa0KEJBtx56HDaz&#10;D91MwibV9d8bQehtPr7nzBadacSJWl9bVvA0SkAQ51bXXCrY/3wNpyB8QNbYWCYFF/KwmPceZphq&#10;e+YdnbJQihjCPkUFVQguldLnFRn0I+uII1fY1mCIsC2lbvEcw00jn5NkIg3WHBsqdPRRUX7M/oyC&#10;jTy8/7pxUeDg5fD57bZc7ycrpR773fINRKAu/Ivv7rWO81/h9ks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LdmcMAAADbAAAADwAAAAAAAAAAAAAAAACYAgAAZHJzL2Rv&#10;d25yZXYueG1sUEsFBgAAAAAEAAQA9QAAAIgDAAAAAA==&#10;" adj="7584,18096" fillcolor="red"/>
            <v:shape id="Выгнутая вверх стрелка 23" o:spid="_x0000_s1902" type="#_x0000_t105" style="position:absolute;left:4857;width:2585;height:131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gzsUA&#10;AADbAAAADwAAAGRycy9kb3ducmV2LnhtbESPT2sCMRTE74LfITyhF9GsltqyGkWlpVIQ7Oqhx8fm&#10;7R/dvIRNqttv3wiFHoeZ+Q2zWHWmEVdqfW1ZwWScgCDOra65VHA6vo1eQPiArLGxTAp+yMNq2e8t&#10;MNX2xp90zUIpIoR9igqqEFwqpc8rMujH1hFHr7CtwRBlW0rd4i3CTSOnSTKTBmuOCxU62laUX7Jv&#10;o+BDnjdf7qkocPh8ft27A9en2btSD4NuPQcRqAv/4b/2TiuYPsL9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iDOxQAAANsAAAAPAAAAAAAAAAAAAAAAAJgCAABkcnMv&#10;ZG93bnJldi54bWxQSwUGAAAAAAQABAD1AAAAigMAAAAA&#10;" adj="7584,18096" fillcolor="red"/>
          </v:group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1528445</wp:posOffset>
            </wp:positionV>
            <wp:extent cx="264160" cy="161290"/>
            <wp:effectExtent l="19050" t="0" r="2540" b="0"/>
            <wp:wrapNone/>
            <wp:docPr id="15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3586" cy="205880"/>
                      <a:chOff x="5175841" y="1503331"/>
                      <a:chExt cx="563586" cy="205880"/>
                    </a:xfrm>
                  </a:grpSpPr>
                  <a:sp>
                    <a:nvSpPr>
                      <a:cNvPr id="2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5175841" y="1503331"/>
                        <a:ext cx="563586" cy="205880"/>
                      </a:xfrm>
                      <a:prstGeom prst="curvedDownArrow">
                        <a:avLst>
                          <a:gd name="adj1" fmla="val 63791"/>
                          <a:gd name="adj2" fmla="val 127581"/>
                          <a:gd name="adj3" fmla="val 33333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D467C">
        <w:rPr>
          <w:sz w:val="28"/>
          <w:szCs w:val="28"/>
        </w:rPr>
        <w:drawing>
          <wp:inline distT="0" distB="0" distL="0" distR="0">
            <wp:extent cx="6310630" cy="2659380"/>
            <wp:effectExtent l="0" t="0" r="0" b="0"/>
            <wp:docPr id="1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725E" w:rsidRDefault="00C0725E" w:rsidP="00804DA6">
      <w:pPr>
        <w:ind w:firstLine="720"/>
        <w:jc w:val="both"/>
        <w:rPr>
          <w:sz w:val="28"/>
          <w:szCs w:val="28"/>
        </w:rPr>
      </w:pPr>
    </w:p>
    <w:p w:rsidR="00804DA6" w:rsidRDefault="000F7BA2" w:rsidP="00804DA6">
      <w:pPr>
        <w:ind w:firstLine="72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Рост пожаров произошел в январе на +8</w:t>
      </w:r>
      <w:r w:rsidR="00BF369B">
        <w:rPr>
          <w:sz w:val="28"/>
          <w:szCs w:val="28"/>
        </w:rPr>
        <w:t>,9 % , феврале на +6,5 %.</w:t>
      </w:r>
    </w:p>
    <w:p w:rsidR="00BF369B" w:rsidRPr="00FA218F" w:rsidRDefault="00BF369B" w:rsidP="00804DA6">
      <w:pPr>
        <w:ind w:firstLine="720"/>
        <w:jc w:val="both"/>
        <w:rPr>
          <w:sz w:val="28"/>
          <w:szCs w:val="28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и погибших людей по дням недели</w:t>
      </w:r>
    </w:p>
    <w:p w:rsidR="00FD4616" w:rsidRPr="00FD4616" w:rsidRDefault="00927B91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07405" cy="30829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369B" w:rsidRDefault="00BF36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Количество пожаров и их последствий в городах</w:t>
      </w:r>
    </w:p>
    <w:p w:rsidR="00FD4616" w:rsidRPr="00FD4616" w:rsidRDefault="00BF369B" w:rsidP="00FD461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Выгнутая вверх стрелка 33" o:spid="_x0000_s1905" type="#_x0000_t105" style="position:absolute;left:0;text-align:left;margin-left:188.3pt;margin-top:107.85pt;width:44.4pt;height:16.2pt;rotation:180;z-index:251667456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IB8MA&#10;AADbAAAADwAAAGRycy9kb3ducmV2LnhtbESPQWvCQBSE74X+h+UJ3upGBZHoJtgUQdqDGu39sfua&#10;hGbfhuwa03/fFQo9DjPzDbPNR9uKgXrfOFYwnyUgiLUzDVcKrpf9yxqED8gGW8ek4Ic85Nnz0xZT&#10;4+58pqEMlYgQ9ikqqEPoUim9rsmin7mOOHpfrrcYouwraXq8R7ht5SJJVtJiw3Ghxo6KmvR3ebMK&#10;3svrR6tDUe7w8/C2Ounja1MMSk0n424DItAY/sN/7YNRsFz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pIB8MAAADbAAAADwAAAAAAAAAAAAAAAACYAgAAZHJzL2Rv&#10;d25yZXYueG1sUEsFBgAAAAAEAAQA9QAAAIgDAAAAAA==&#10;" adj="11545,19086" fillcolor="red"/>
        </w:pict>
      </w:r>
      <w:r w:rsidRPr="00BF369B">
        <w:rPr>
          <w:color w:val="000000"/>
          <w:sz w:val="28"/>
          <w:szCs w:val="28"/>
        </w:rPr>
        <w:drawing>
          <wp:inline distT="0" distB="0" distL="0" distR="0">
            <wp:extent cx="6265572" cy="2730321"/>
            <wp:effectExtent l="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В городах Свердловской области за истекший период зарегистрировано:</w:t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- 609 пожаров (</w:t>
      </w:r>
      <w:r w:rsidR="00F4706B">
        <w:rPr>
          <w:b w:val="0"/>
          <w:iCs w:val="0"/>
          <w:spacing w:val="0"/>
          <w:szCs w:val="28"/>
        </w:rPr>
        <w:t xml:space="preserve">снижение на </w:t>
      </w:r>
      <w:r w:rsidRPr="000F7BA2">
        <w:rPr>
          <w:b w:val="0"/>
          <w:iCs w:val="0"/>
          <w:spacing w:val="0"/>
          <w:szCs w:val="28"/>
        </w:rPr>
        <w:t>3,0</w:t>
      </w:r>
      <w:r w:rsidR="00F4706B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 к АППГ);</w:t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- погибли 51 человек (</w:t>
      </w:r>
      <w:r w:rsidR="00F4706B">
        <w:rPr>
          <w:b w:val="0"/>
          <w:iCs w:val="0"/>
          <w:spacing w:val="0"/>
          <w:szCs w:val="28"/>
        </w:rPr>
        <w:t xml:space="preserve">увеличение на </w:t>
      </w:r>
      <w:r w:rsidRPr="000F7BA2">
        <w:rPr>
          <w:b w:val="0"/>
          <w:iCs w:val="0"/>
          <w:spacing w:val="0"/>
          <w:szCs w:val="28"/>
        </w:rPr>
        <w:t>2,0</w:t>
      </w:r>
      <w:r w:rsidR="00F4706B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в том числе 4 ребенка (</w:t>
      </w:r>
      <w:r w:rsidR="00F4706B">
        <w:rPr>
          <w:b w:val="0"/>
          <w:iCs w:val="0"/>
          <w:szCs w:val="28"/>
        </w:rPr>
        <w:t xml:space="preserve">увеличение на </w:t>
      </w:r>
      <w:r w:rsidRPr="000F7BA2">
        <w:rPr>
          <w:b w:val="0"/>
          <w:iCs w:val="0"/>
          <w:spacing w:val="0"/>
          <w:szCs w:val="28"/>
        </w:rPr>
        <w:t>33,3</w:t>
      </w:r>
      <w:r w:rsidR="00F4706B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%);</w:t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- получили травмы 72 человека (стаб</w:t>
      </w:r>
      <w:r w:rsidR="00F4706B">
        <w:rPr>
          <w:b w:val="0"/>
          <w:iCs w:val="0"/>
          <w:spacing w:val="0"/>
          <w:szCs w:val="28"/>
        </w:rPr>
        <w:t>ильно</w:t>
      </w:r>
      <w:r w:rsidRPr="000F7BA2">
        <w:rPr>
          <w:b w:val="0"/>
          <w:iCs w:val="0"/>
          <w:spacing w:val="0"/>
          <w:szCs w:val="28"/>
        </w:rPr>
        <w:t>);</w:t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- прямой материальный ущерб причинен в размере 47,8 млн.руб. (</w:t>
      </w:r>
      <w:r w:rsidR="00F4706B">
        <w:rPr>
          <w:b w:val="0"/>
          <w:iCs w:val="0"/>
          <w:szCs w:val="28"/>
        </w:rPr>
        <w:t xml:space="preserve">снижение на </w:t>
      </w:r>
      <w:r w:rsidRPr="000F7BA2">
        <w:rPr>
          <w:b w:val="0"/>
          <w:iCs w:val="0"/>
          <w:spacing w:val="0"/>
          <w:szCs w:val="28"/>
        </w:rPr>
        <w:t>69,4 %).</w:t>
      </w:r>
    </w:p>
    <w:p w:rsidR="00032DBB" w:rsidRPr="00FD4616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На города пришлось 69,6 % от общего количества пожаров в области, 60,5 % материального ущерба, 51,0 % числа погибших при пожарах людей и 82,8 %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сельской местности</w:t>
      </w:r>
    </w:p>
    <w:p w:rsidR="00FD4616" w:rsidRPr="00410079" w:rsidRDefault="003C6329" w:rsidP="00FD4616">
      <w:pPr>
        <w:jc w:val="center"/>
        <w:rPr>
          <w:color w:val="000000"/>
          <w:sz w:val="28"/>
          <w:szCs w:val="28"/>
        </w:rPr>
      </w:pPr>
      <w:r>
        <w:rPr>
          <w:b/>
          <w:iCs/>
          <w:noProof/>
          <w:szCs w:val="28"/>
        </w:rPr>
        <w:pict>
          <v:shape id="_x0000_s1909" type="#_x0000_t105" style="position:absolute;left:0;text-align:left;margin-left:411.45pt;margin-top:110.35pt;width:44.4pt;height:16.2pt;rotation:180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IB8MA&#10;AADbAAAADwAAAGRycy9kb3ducmV2LnhtbESPQWvCQBSE74X+h+UJ3upGBZHoJtgUQdqDGu39sfua&#10;hGbfhuwa03/fFQo9DjPzDbPNR9uKgXrfOFYwnyUgiLUzDVcKrpf9yxqED8gGW8ek4Ic85Nnz0xZT&#10;4+58pqEMlYgQ9ikqqEPoUim9rsmin7mOOHpfrrcYouwraXq8R7ht5SJJVtJiw3Ghxo6KmvR3ebMK&#10;3svrR6tDUe7w8/C2Ounja1MMSk0n424DItAY/sN/7YNRsFz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pIB8MAAADbAAAADwAAAAAAAAAAAAAAAACYAgAAZHJzL2Rv&#10;d25yZXYueG1sUEsFBgAAAAAEAAQA9QAAAIgDAAAAAA==&#10;" adj="11545,19086" fillcolor="red"/>
        </w:pict>
      </w:r>
      <w:r>
        <w:rPr>
          <w:b/>
          <w:iCs/>
          <w:noProof/>
          <w:szCs w:val="28"/>
        </w:rPr>
        <w:pict>
          <v:shape id="_x0000_s1908" type="#_x0000_t105" style="position:absolute;left:0;text-align:left;margin-left:188.3pt;margin-top:110.35pt;width:44.4pt;height:16.2pt;rotation:180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IB8MA&#10;AADbAAAADwAAAGRycy9kb3ducmV2LnhtbESPQWvCQBSE74X+h+UJ3upGBZHoJtgUQdqDGu39sfua&#10;hGbfhuwa03/fFQo9DjPzDbPNR9uKgXrfOFYwnyUgiLUzDVcKrpf9yxqED8gGW8ek4Ic85Nnz0xZT&#10;4+58pqEMlYgQ9ikqqEPoUim9rsmin7mOOHpfrrcYouwraXq8R7ht5SJJVtJiw3Ghxo6KmvR3ebMK&#10;3svrR6tDUe7w8/C2Ounja1MMSk0n424DItAY/sN/7YNRsFz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pIB8MAAADbAAAADwAAAAAAAAAAAAAAAACYAgAAZHJzL2Rv&#10;d25yZXYueG1sUEsFBgAAAAAEAAQA9QAAAIgDAAAAAA==&#10;" adj="11545,19086" fillcolor="red"/>
        </w:pict>
      </w:r>
      <w:r>
        <w:rPr>
          <w:b/>
          <w:iCs/>
          <w:noProof/>
          <w:szCs w:val="28"/>
        </w:rPr>
        <w:pict>
          <v:shape id="_x0000_s1907" type="#_x0000_t105" style="position:absolute;left:0;text-align:left;margin-left:76.2pt;margin-top:106.1pt;width:44.4pt;height:16.2pt;rotation:180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IB8MA&#10;AADbAAAADwAAAGRycy9kb3ducmV2LnhtbESPQWvCQBSE74X+h+UJ3upGBZHoJtgUQdqDGu39sfua&#10;hGbfhuwa03/fFQo9DjPzDbPNR9uKgXrfOFYwnyUgiLUzDVcKrpf9yxqED8gGW8ek4Ic85Nnz0xZT&#10;4+58pqEMlYgQ9ikqqEPoUim9rsmin7mOOHpfrrcYouwraXq8R7ht5SJJVtJiw3Ghxo6KmvR3ebMK&#10;3svrR6tDUe7w8/C2Ounja1MMSk0n424DItAY/sN/7YNRsFz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pIB8MAAADbAAAADwAAAAAAAAAAAAAAAACYAgAAZHJzL2Rv&#10;d25yZXYueG1sUEsFBgAAAAAEAAQA9QAAAIgDAAAAAA==&#10;" adj="11545,19086" fillcolor="red"/>
        </w:pict>
      </w:r>
      <w:r w:rsidR="007D5016" w:rsidRPr="007D5016">
        <w:rPr>
          <w:color w:val="000000"/>
          <w:sz w:val="28"/>
          <w:szCs w:val="28"/>
        </w:rPr>
        <w:drawing>
          <wp:inline distT="0" distB="0" distL="0" distR="0">
            <wp:extent cx="6265572" cy="2730321"/>
            <wp:effectExtent l="0" t="0" r="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В сельской местности Свердловской области за истекший период зарегистрировано:</w:t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- 266 пожаров (</w:t>
      </w:r>
      <w:r w:rsidR="003C6329">
        <w:rPr>
          <w:b w:val="0"/>
          <w:iCs w:val="0"/>
          <w:szCs w:val="28"/>
        </w:rPr>
        <w:t xml:space="preserve">увеличение на </w:t>
      </w:r>
      <w:r w:rsidRPr="000F7BA2">
        <w:rPr>
          <w:b w:val="0"/>
          <w:iCs w:val="0"/>
          <w:spacing w:val="0"/>
          <w:szCs w:val="28"/>
        </w:rPr>
        <w:t>7,7</w:t>
      </w:r>
      <w:r w:rsidR="003C6329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 к АППГ);</w:t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- погибли 49 человек (</w:t>
      </w:r>
      <w:r w:rsidR="003C6329">
        <w:rPr>
          <w:b w:val="0"/>
          <w:iCs w:val="0"/>
          <w:szCs w:val="28"/>
        </w:rPr>
        <w:t xml:space="preserve">увеличение на </w:t>
      </w:r>
      <w:r w:rsidRPr="000F7BA2">
        <w:rPr>
          <w:b w:val="0"/>
          <w:iCs w:val="0"/>
          <w:spacing w:val="0"/>
          <w:szCs w:val="28"/>
        </w:rPr>
        <w:t>11,4</w:t>
      </w:r>
      <w:r w:rsidR="003C6329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в том числе 3 ребенка (увел</w:t>
      </w:r>
      <w:r w:rsidR="003C6329">
        <w:rPr>
          <w:b w:val="0"/>
          <w:iCs w:val="0"/>
          <w:spacing w:val="0"/>
          <w:szCs w:val="28"/>
        </w:rPr>
        <w:t>ичение</w:t>
      </w:r>
      <w:r w:rsidRPr="000F7BA2">
        <w:rPr>
          <w:b w:val="0"/>
          <w:iCs w:val="0"/>
          <w:spacing w:val="0"/>
          <w:szCs w:val="28"/>
        </w:rPr>
        <w:t>);</w:t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- получили травмы 15 человек (</w:t>
      </w:r>
      <w:r w:rsidR="003C6329">
        <w:rPr>
          <w:b w:val="0"/>
          <w:iCs w:val="0"/>
          <w:szCs w:val="28"/>
        </w:rPr>
        <w:t xml:space="preserve">снижение на </w:t>
      </w:r>
      <w:r w:rsidRPr="000F7BA2">
        <w:rPr>
          <w:b w:val="0"/>
          <w:iCs w:val="0"/>
          <w:spacing w:val="0"/>
          <w:szCs w:val="28"/>
        </w:rPr>
        <w:t>11,8 %);</w:t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- прямой материальный ущерб причинен в размере 31,3 млн.руб. (</w:t>
      </w:r>
      <w:r w:rsidR="003C6329">
        <w:rPr>
          <w:b w:val="0"/>
          <w:iCs w:val="0"/>
          <w:szCs w:val="28"/>
        </w:rPr>
        <w:t xml:space="preserve">увеличение на </w:t>
      </w:r>
      <w:r w:rsidRPr="000F7BA2">
        <w:rPr>
          <w:b w:val="0"/>
          <w:iCs w:val="0"/>
          <w:spacing w:val="0"/>
          <w:szCs w:val="28"/>
        </w:rPr>
        <w:t>31,4 %).</w:t>
      </w:r>
    </w:p>
    <w:p w:rsidR="007439F7" w:rsidRPr="00FA218F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lastRenderedPageBreak/>
        <w:t>На сельскую местность пришлось 30,4 % от общего количества пожаров в области, 39,5 % материального ущерба, 49,0 % числа погибших при пожарах людей и 17,2 %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0079" w:rsidRPr="00410079" w:rsidRDefault="0057523D" w:rsidP="00410079">
      <w:pPr>
        <w:jc w:val="center"/>
        <w:rPr>
          <w:color w:val="000000"/>
          <w:sz w:val="28"/>
          <w:szCs w:val="28"/>
        </w:rPr>
      </w:pPr>
      <w:r w:rsidRPr="0057523D">
        <w:rPr>
          <w:noProof/>
        </w:rPr>
        <w:drawing>
          <wp:inline distT="0" distB="0" distL="0" distR="0">
            <wp:extent cx="6304476" cy="2871989"/>
            <wp:effectExtent l="0" t="0" r="1270" b="508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9F7" w:rsidRPr="00FA218F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Наибольшее количество пожаров зарегистрировано в жилом секторе. Их доля от общего числа пожаров по области составила 74,9 %. Гибель людей при пожарах в жилом секторе, от общего количества по области, составила 93,0 %, людей получивших травмы – 89,7 %.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Чаще всего пожары происходили в подсобных помещениях (5,6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на верандах (5,83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в саунах (8,23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в пристройках к зданиям (3,66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в жилых комнатах (26,06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в коридорах (2,06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на кухнях (3,66</w:t>
      </w:r>
      <w:r w:rsidR="001521C4">
        <w:rPr>
          <w:b w:val="0"/>
          <w:iCs w:val="0"/>
          <w:spacing w:val="0"/>
          <w:szCs w:val="28"/>
        </w:rPr>
        <w:t xml:space="preserve"> %), </w:t>
      </w:r>
      <w:r w:rsidRPr="000F7BA2">
        <w:rPr>
          <w:b w:val="0"/>
          <w:iCs w:val="0"/>
          <w:spacing w:val="0"/>
          <w:szCs w:val="28"/>
        </w:rPr>
        <w:t>на чердаках зданий (2,4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в прочих помещениях (16,34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в салонах (2,74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%), в отсеках двигателей (10,97</w:t>
      </w:r>
      <w:r w:rsidR="001521C4">
        <w:rPr>
          <w:b w:val="0"/>
          <w:iCs w:val="0"/>
          <w:spacing w:val="0"/>
          <w:szCs w:val="28"/>
        </w:rPr>
        <w:t xml:space="preserve"> </w:t>
      </w:r>
      <w:r w:rsidRPr="000F7BA2">
        <w:rPr>
          <w:b w:val="0"/>
          <w:iCs w:val="0"/>
          <w:spacing w:val="0"/>
          <w:szCs w:val="28"/>
        </w:rPr>
        <w:t>%) .</w:t>
      </w:r>
    </w:p>
    <w:p w:rsidR="00BC5091" w:rsidRPr="001521C4" w:rsidRDefault="00BC509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 w:val="16"/>
          <w:szCs w:val="16"/>
        </w:rPr>
      </w:pPr>
      <w:r w:rsidRPr="00410079">
        <w:rPr>
          <w:b w:val="0"/>
          <w:iCs w:val="0"/>
          <w:spacing w:val="0"/>
          <w:szCs w:val="28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410079" w:rsidRPr="000F7BA2" w:rsidRDefault="001521C4" w:rsidP="00410079">
      <w:pPr>
        <w:jc w:val="center"/>
        <w:rPr>
          <w:sz w:val="22"/>
          <w:szCs w:val="22"/>
        </w:rPr>
      </w:pPr>
      <w:r w:rsidRPr="001521C4">
        <w:rPr>
          <w:sz w:val="22"/>
          <w:szCs w:val="22"/>
        </w:rPr>
        <w:drawing>
          <wp:inline distT="0" distB="0" distL="0" distR="0">
            <wp:extent cx="6207885" cy="3470856"/>
            <wp:effectExtent l="0" t="0" r="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7BA2" w:rsidRPr="000F7BA2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lastRenderedPageBreak/>
        <w:t xml:space="preserve">За 3 месяца 2018 года от неосторожного обращения с огнем произошло 18,7 % (в </w:t>
      </w:r>
      <w:smartTag w:uri="urn:schemas-microsoft-com:office:smarttags" w:element="metricconverter">
        <w:smartTagPr>
          <w:attr w:name="ProductID" w:val="2017 г"/>
        </w:smartTagPr>
        <w:r w:rsidRPr="000F7BA2">
          <w:rPr>
            <w:b w:val="0"/>
            <w:iCs w:val="0"/>
            <w:spacing w:val="0"/>
            <w:szCs w:val="28"/>
          </w:rPr>
          <w:t>2017 г</w:t>
        </w:r>
      </w:smartTag>
      <w:r w:rsidRPr="000F7BA2">
        <w:rPr>
          <w:b w:val="0"/>
          <w:iCs w:val="0"/>
          <w:spacing w:val="0"/>
          <w:szCs w:val="28"/>
        </w:rPr>
        <w:t xml:space="preserve">. - 19,9 %) от общего количества пожаров, при которых погибли 58 человек (58,0 % от общего количества, в </w:t>
      </w:r>
      <w:smartTag w:uri="urn:schemas-microsoft-com:office:smarttags" w:element="metricconverter">
        <w:smartTagPr>
          <w:attr w:name="ProductID" w:val="2017 г"/>
        </w:smartTagPr>
        <w:r w:rsidRPr="000F7BA2">
          <w:rPr>
            <w:b w:val="0"/>
            <w:iCs w:val="0"/>
            <w:spacing w:val="0"/>
            <w:szCs w:val="28"/>
          </w:rPr>
          <w:t>2017 г</w:t>
        </w:r>
      </w:smartTag>
      <w:r w:rsidRPr="000F7BA2">
        <w:rPr>
          <w:b w:val="0"/>
          <w:iCs w:val="0"/>
          <w:spacing w:val="0"/>
          <w:szCs w:val="28"/>
        </w:rPr>
        <w:t xml:space="preserve">. - 66,0 %) и 38 человек получили травмы (43,7 % от общего количества, в </w:t>
      </w:r>
      <w:smartTag w:uri="urn:schemas-microsoft-com:office:smarttags" w:element="metricconverter">
        <w:smartTagPr>
          <w:attr w:name="ProductID" w:val="2017 г"/>
        </w:smartTagPr>
        <w:r w:rsidRPr="000F7BA2">
          <w:rPr>
            <w:b w:val="0"/>
            <w:iCs w:val="0"/>
            <w:spacing w:val="0"/>
            <w:szCs w:val="28"/>
          </w:rPr>
          <w:t>2017 г</w:t>
        </w:r>
      </w:smartTag>
      <w:r w:rsidRPr="000F7BA2">
        <w:rPr>
          <w:b w:val="0"/>
          <w:iCs w:val="0"/>
          <w:spacing w:val="0"/>
          <w:szCs w:val="28"/>
        </w:rPr>
        <w:t>. - 60,7 %).</w:t>
      </w:r>
    </w:p>
    <w:p w:rsidR="0078763C" w:rsidRPr="00FA218F" w:rsidRDefault="000F7BA2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0F7BA2">
        <w:rPr>
          <w:b w:val="0"/>
          <w:iCs w:val="0"/>
          <w:spacing w:val="0"/>
          <w:szCs w:val="28"/>
        </w:rPr>
        <w:t>Значительное количество пожаров произошло по причинам нарушений правил устройства и эксплуатации электрооборудования (33,1 % от общего количества) и нарушений правил эксплуатации печного отопления (20,2 % от общего количества).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0F7BA2" w:rsidRPr="000F7BA2" w:rsidRDefault="000F7BA2" w:rsidP="006E5474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0F7BA2" w:rsidRPr="000F7BA2" w:rsidRDefault="000F7BA2" w:rsidP="006E5474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- количество пожаров, приходящихся на 100 тыс. населения 20,23 (за АППГ – 20,23);</w:t>
      </w:r>
    </w:p>
    <w:p w:rsidR="000F7BA2" w:rsidRPr="000F7BA2" w:rsidRDefault="000F7BA2" w:rsidP="006E5474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- средний ущерб, приходящийся на один пожар, - 90,36 тыс. руб. (205,70); </w:t>
      </w:r>
    </w:p>
    <w:p w:rsidR="000F7BA2" w:rsidRPr="000F7BA2" w:rsidRDefault="000F7BA2" w:rsidP="006E5474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- количество погибших при пожарах людей на 100 тыс. населения – 2,31 (2,17); </w:t>
      </w:r>
    </w:p>
    <w:p w:rsidR="00150853" w:rsidRPr="00FA218F" w:rsidRDefault="000F7BA2" w:rsidP="006E5474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- количество травмированных при пожарах людей на 100 тыс. населения – 2,01 (2,06).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410079" w:rsidRPr="00FA218F" w:rsidRDefault="00410079" w:rsidP="00410079">
      <w:pPr>
        <w:ind w:firstLine="709"/>
        <w:jc w:val="both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погибших людей по часам суток, в т.ч. в нетрезвом виде</w:t>
      </w:r>
    </w:p>
    <w:p w:rsidR="00410079" w:rsidRPr="00FA218F" w:rsidRDefault="00927B91" w:rsidP="004100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7410" cy="301053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27D" w:rsidRPr="00FA218F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Основное время суток, когда погибали люди, это ночные и вечерние часы. Всего же за вечернее и ночное время (с 18-ти вечера до 6 часов утра) погибли 63 человека (63,0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 от общего количества), из них в нетрезвом виде - 24, что составляет 24,0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 от общего числа погибших.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F7BA2" w:rsidRPr="000F7BA2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На пожарах больше погибало лиц мужского пола – 71,0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 от общего количества погибших, женщин – 29,0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 от общего количества.</w:t>
      </w:r>
    </w:p>
    <w:p w:rsidR="00B46152" w:rsidRPr="00FA218F" w:rsidRDefault="00BC5091" w:rsidP="00B46152">
      <w:pPr>
        <w:ind w:firstLine="720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B46152" w:rsidRPr="00FA218F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Относительно аналогичного периода прошлого года количество погибших людей, находящихся в нетрезвом состоянии, увеличилось на 2,9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%, с 35 человек до 36.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В городах этот процент составляет 33,3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  от общего числа погибших в городах, в сельской местности - 38,8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 xml:space="preserve">% от общего числа погибших в сельской местности.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753091" w:rsidRPr="00FA218F" w:rsidRDefault="00753091" w:rsidP="00273706">
      <w:pPr>
        <w:jc w:val="center"/>
        <w:rPr>
          <w:b/>
          <w:sz w:val="10"/>
          <w:szCs w:val="10"/>
        </w:rPr>
      </w:pPr>
    </w:p>
    <w:p w:rsidR="00C9269E" w:rsidRDefault="00C926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F7BA2" w:rsidRPr="000F7BA2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lastRenderedPageBreak/>
        <w:t xml:space="preserve">При пожарах погибло 36 пенсионеров (36,0 % от общего количества), </w:t>
      </w:r>
    </w:p>
    <w:p w:rsidR="000F7BA2" w:rsidRPr="000F7BA2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- трудоспособного населения - 17 человек (17,0 %), </w:t>
      </w:r>
    </w:p>
    <w:p w:rsidR="000F7BA2" w:rsidRPr="000F7BA2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- безработных - 27 человек (27,0 %), </w:t>
      </w:r>
    </w:p>
    <w:p w:rsidR="000F7BA2" w:rsidRPr="000F7BA2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- нетрудоспособных иждивенцев (инвалидов) - 4 человека (4,0 %), </w:t>
      </w:r>
    </w:p>
    <w:p w:rsidR="000F7BA2" w:rsidRPr="000F7BA2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- лиц без определенного места жительства (БОМЖ) - 6 человек (6,0 %), </w:t>
      </w:r>
    </w:p>
    <w:p w:rsidR="000F7BA2" w:rsidRPr="000F7BA2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- иностранные граждане - 0 человек (0,0 %), </w:t>
      </w:r>
    </w:p>
    <w:p w:rsidR="000F7BA2" w:rsidRPr="000F7BA2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- лиц без гражданства - 0 человек (0,0 %), </w:t>
      </w:r>
    </w:p>
    <w:p w:rsidR="000F7BA2" w:rsidRPr="000F7BA2" w:rsidRDefault="000F7BA2" w:rsidP="00B46152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- социальное положение не установлено - 3 человека (3,0 %). </w:t>
      </w:r>
    </w:p>
    <w:p w:rsidR="00256B4F" w:rsidRPr="00FA218F" w:rsidRDefault="00BC5091" w:rsidP="00B46152">
      <w:pPr>
        <w:ind w:firstLine="720"/>
        <w:jc w:val="both"/>
        <w:rPr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F23541" w:rsidRPr="00FA218F" w:rsidRDefault="000F7BA2" w:rsidP="00F23541">
      <w:pPr>
        <w:ind w:firstLine="709"/>
        <w:jc w:val="both"/>
        <w:rPr>
          <w:sz w:val="28"/>
          <w:szCs w:val="28"/>
        </w:rPr>
      </w:pPr>
      <w:r w:rsidRPr="000F7BA2">
        <w:rPr>
          <w:sz w:val="28"/>
          <w:szCs w:val="28"/>
        </w:rPr>
        <w:t xml:space="preserve">Детей школьного возраста погибло 0 человек (0,0 % от общего количества), дошкольников - 7 человек (7,0 %). </w:t>
      </w:r>
      <w:r w:rsidR="00BC5091" w:rsidRPr="00FA218F">
        <w:rPr>
          <w:sz w:val="28"/>
          <w:szCs w:val="28"/>
        </w:rPr>
        <w:t xml:space="preserve"> </w:t>
      </w:r>
    </w:p>
    <w:p w:rsidR="0036399C" w:rsidRPr="00FA218F" w:rsidRDefault="0036399C" w:rsidP="0036399C">
      <w:pPr>
        <w:ind w:firstLine="540"/>
        <w:jc w:val="both"/>
        <w:rPr>
          <w:color w:val="000000"/>
          <w:sz w:val="16"/>
          <w:szCs w:val="16"/>
        </w:rPr>
      </w:pPr>
    </w:p>
    <w:p w:rsidR="000F7BA2" w:rsidRPr="000F7BA2" w:rsidRDefault="000F7BA2" w:rsidP="00FA218F">
      <w:pPr>
        <w:ind w:firstLine="709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Наибольшее количество тел погибших людей было обнаружено в складском помещении (2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%), в гараже (2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%), в помещении котельной (2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%), на веранде (2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%), в сауне (2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%),  в пристройке к зданию (4</w:t>
      </w:r>
      <w:r w:rsidR="00C9269E">
        <w:rPr>
          <w:color w:val="000000"/>
          <w:sz w:val="28"/>
          <w:szCs w:val="28"/>
        </w:rPr>
        <w:t xml:space="preserve"> %), </w:t>
      </w:r>
      <w:r w:rsidRPr="000F7BA2">
        <w:rPr>
          <w:color w:val="000000"/>
          <w:sz w:val="28"/>
          <w:szCs w:val="28"/>
        </w:rPr>
        <w:t>в жилой комнате (62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%), на кухне (10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%), на чердаке здания (2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%),  в прочих помещениях (9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%) .</w:t>
      </w:r>
    </w:p>
    <w:p w:rsidR="0036399C" w:rsidRPr="00FA218F" w:rsidRDefault="00BC5091" w:rsidP="00FA218F">
      <w:pPr>
        <w:ind w:firstLine="709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4D1112" w:rsidRPr="00FA218F" w:rsidRDefault="004D1112" w:rsidP="004D1112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Основные причины гибели людей при пожарах</w:t>
      </w:r>
    </w:p>
    <w:p w:rsidR="004D1112" w:rsidRPr="004D1112" w:rsidRDefault="00927B91" w:rsidP="004D111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28690" cy="314769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B13" w:rsidRPr="00FA218F" w:rsidRDefault="000F7BA2" w:rsidP="009B3B13">
      <w:pPr>
        <w:ind w:firstLine="720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 xml:space="preserve">Вследствие воздействия продуктов горения погибли 60 человек (60,0 % от общего количества), от воздействия высокой температуры - 27 человек (27,0 %). </w:t>
      </w:r>
      <w:r w:rsidRPr="00C9269E">
        <w:rPr>
          <w:color w:val="000000"/>
          <w:sz w:val="28"/>
          <w:szCs w:val="28"/>
        </w:rPr>
        <w:t xml:space="preserve">Прочие причины гибели людей - 13 человек (13,0 % от общего количества).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9B3B13" w:rsidP="00FF11A8">
      <w:pPr>
        <w:jc w:val="both"/>
        <w:rPr>
          <w:color w:val="000000"/>
          <w:sz w:val="16"/>
          <w:szCs w:val="16"/>
        </w:rPr>
      </w:pPr>
      <w:r w:rsidRPr="00FA218F">
        <w:rPr>
          <w:color w:val="000000"/>
          <w:sz w:val="16"/>
          <w:szCs w:val="16"/>
        </w:rPr>
        <w:tab/>
      </w:r>
    </w:p>
    <w:p w:rsidR="00BB64CB" w:rsidRPr="00FA218F" w:rsidRDefault="00BB64CB" w:rsidP="00BB64CB">
      <w:pPr>
        <w:ind w:firstLine="709"/>
        <w:jc w:val="both"/>
        <w:rPr>
          <w:color w:val="000000"/>
          <w:sz w:val="16"/>
          <w:szCs w:val="16"/>
        </w:rPr>
      </w:pPr>
    </w:p>
    <w:p w:rsidR="00C9269E" w:rsidRDefault="00C926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1112" w:rsidRPr="004D1112" w:rsidRDefault="004D1112" w:rsidP="004D1112">
      <w:pPr>
        <w:jc w:val="center"/>
        <w:rPr>
          <w:b/>
          <w:sz w:val="28"/>
          <w:szCs w:val="28"/>
        </w:rPr>
      </w:pPr>
      <w:r w:rsidRPr="004D1112">
        <w:rPr>
          <w:b/>
          <w:sz w:val="28"/>
          <w:szCs w:val="28"/>
        </w:rPr>
        <w:lastRenderedPageBreak/>
        <w:t>Увеличение показателей по пожарам и их последствиям в муниципальных образованиях Свердловской области</w:t>
      </w:r>
    </w:p>
    <w:p w:rsidR="00BB64CB" w:rsidRPr="00FA218F" w:rsidRDefault="000F7BA2" w:rsidP="00BB64CB">
      <w:pPr>
        <w:ind w:firstLine="709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Произошел одновременный рост количества пожаров, погибших и травмированных при них людей в МО городе Екатеринбург (+15,9%,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+88,9%,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+85,0% соответственно), ГО Верхотурский (+100,0%,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увел.,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увел.), МО г. Каменск-Уральский (+42,9%,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+100,0%,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+600,0%), Полевском ГО (+90,0%,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увел.,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BC5091" w:rsidRPr="00FA218F" w:rsidRDefault="000F7BA2" w:rsidP="00FA218F">
      <w:pPr>
        <w:ind w:firstLine="709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Зарегистрирован рост количества пожаров и погибших при них людей в Артинском ГО (+20,0%,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+100,0% соответственно), Байкаловском МР (+25,0%,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+100,0%), ГО Краснотурьинск (+10,0%,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увел.), МО Красноуфимский округ (+10,0%,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+33,3%), Нижнетуринском ГО (+18,2%,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+100,0%), Слободотуринском МР (+33,3%,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увел.), Шалинском ГО (+25,0%,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+100,0%).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0F7BA2" w:rsidP="00FA218F">
      <w:pPr>
        <w:ind w:firstLine="709"/>
        <w:jc w:val="both"/>
        <w:rPr>
          <w:color w:val="000000"/>
          <w:sz w:val="28"/>
          <w:szCs w:val="28"/>
        </w:rPr>
      </w:pPr>
      <w:r w:rsidRPr="000F7BA2">
        <w:rPr>
          <w:color w:val="000000"/>
          <w:sz w:val="28"/>
          <w:szCs w:val="28"/>
        </w:rPr>
        <w:t>Одновременный рост числа пожаров и травмированных людей произошел в  Берёзовском ГО (+35,3%,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увел. соответственно), Ивдельском ГО (+66,7%,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увел.), Качканарском ГО (+100,0%,</w:t>
      </w:r>
      <w:r w:rsidR="00C9269E">
        <w:rPr>
          <w:color w:val="000000"/>
          <w:sz w:val="28"/>
          <w:szCs w:val="28"/>
        </w:rPr>
        <w:t xml:space="preserve"> </w:t>
      </w:r>
      <w:r w:rsidRPr="000F7BA2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25F64" w:rsidRPr="00FA218F" w:rsidRDefault="000F7BA2" w:rsidP="00CC7303">
      <w:pPr>
        <w:ind w:firstLine="72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Отмечается одновременный рост числа погибших и травмированных при пожарах людей в ГО Богданович (увел.,+100,0% соответственно), Невьянском ГО (+50,0%,</w:t>
      </w:r>
      <w:r w:rsidR="00C9269E">
        <w:rPr>
          <w:sz w:val="28"/>
          <w:szCs w:val="28"/>
        </w:rPr>
        <w:t xml:space="preserve"> </w:t>
      </w:r>
      <w:r w:rsidRPr="000F7BA2">
        <w:rPr>
          <w:sz w:val="28"/>
          <w:szCs w:val="28"/>
        </w:rPr>
        <w:t>+100,0%), Режевском ГО (увел.,</w:t>
      </w:r>
      <w:r w:rsidR="00C9269E">
        <w:rPr>
          <w:sz w:val="28"/>
          <w:szCs w:val="28"/>
        </w:rPr>
        <w:t xml:space="preserve"> </w:t>
      </w:r>
      <w:r w:rsidRPr="000F7BA2">
        <w:rPr>
          <w:sz w:val="28"/>
          <w:szCs w:val="28"/>
        </w:rPr>
        <w:t>увел.), Сысертском ГО (+150,0%,</w:t>
      </w:r>
      <w:r w:rsidR="00C9269E">
        <w:rPr>
          <w:sz w:val="28"/>
          <w:szCs w:val="28"/>
        </w:rPr>
        <w:t xml:space="preserve"> </w:t>
      </w:r>
      <w:r w:rsidRPr="000F7BA2">
        <w:rPr>
          <w:sz w:val="28"/>
          <w:szCs w:val="28"/>
        </w:rPr>
        <w:t>увел.).</w:t>
      </w:r>
      <w:r w:rsidR="00BC5091" w:rsidRPr="00FA218F">
        <w:rPr>
          <w:sz w:val="28"/>
          <w:szCs w:val="28"/>
        </w:rPr>
        <w:t xml:space="preserve"> </w:t>
      </w:r>
    </w:p>
    <w:p w:rsidR="000F7BA2" w:rsidRPr="000F7BA2" w:rsidRDefault="000F7BA2" w:rsidP="00FB30DB">
      <w:pPr>
        <w:ind w:firstLine="72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В 8 муниципальных образованиях Свердловской области отмечается увеличение числа пожаров (Асбестовском ГО (+15,4%), Горноуральском ГО (+69,2%), Волчанском ГО (+50,0%), ГО Красноуральск (+75,0%), г. Нижний Тагил (+14,9%), Сосьвинском ГО (+60,0%), Талицком ГО (+21,1%), ГО Староуткинск (+100,0%)).</w:t>
      </w:r>
    </w:p>
    <w:p w:rsidR="00FB30DB" w:rsidRPr="000F7BA2" w:rsidRDefault="00707789" w:rsidP="00FB30DB">
      <w:pPr>
        <w:ind w:firstLine="72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 xml:space="preserve"> </w:t>
      </w:r>
    </w:p>
    <w:p w:rsidR="000F7BA2" w:rsidRPr="000F7BA2" w:rsidRDefault="000F7BA2" w:rsidP="00FA218F">
      <w:pPr>
        <w:ind w:firstLine="709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В 5 муниципальных образованиях Свердловской области отмечается увеличение числа погибших при пожарах людей (Ачитском ГО (увел.), Белоярском ГО (+33,3%), ГО Верхнее Дуброво (увел.), ГО Ревда (</w:t>
      </w:r>
      <w:r w:rsidR="00C9269E">
        <w:rPr>
          <w:sz w:val="28"/>
          <w:szCs w:val="28"/>
        </w:rPr>
        <w:t>увел.), Тавдинском ГО (+200,0%)</w:t>
      </w:r>
      <w:r w:rsidRPr="000F7BA2">
        <w:rPr>
          <w:sz w:val="28"/>
          <w:szCs w:val="28"/>
        </w:rPr>
        <w:t>).</w:t>
      </w:r>
    </w:p>
    <w:p w:rsidR="00032DBB" w:rsidRPr="000F7BA2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0F7BA2" w:rsidRPr="000F7BA2" w:rsidRDefault="000F7BA2" w:rsidP="00FA218F">
      <w:pPr>
        <w:ind w:firstLine="709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В 1 муниципальных образованиях Свердловской области отмечается увеличение числа погибших при пожарах детей (Туринском ГО (увел.)).</w:t>
      </w:r>
    </w:p>
    <w:p w:rsidR="00025F64" w:rsidRPr="00FA218F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0F7BA2" w:rsidRPr="00C9269E" w:rsidRDefault="000F7BA2" w:rsidP="00AF0F9B">
      <w:pPr>
        <w:ind w:firstLine="709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В 7 муниципальных образованиях Свердловской области отмечается увеличение числа травмированных при пожарах людей (МО городе Алапаевске (+600,0%), ГО Верхняя Пышма (увел.), Ирбитском МО (увел.), Каменском ГО (увел.), ГО Карпинск (увел.), Североуральском ГО (увел.), Туринском Г</w:t>
      </w:r>
      <w:r w:rsidR="00C9269E">
        <w:rPr>
          <w:sz w:val="28"/>
          <w:szCs w:val="28"/>
        </w:rPr>
        <w:t>О (увел.)</w:t>
      </w:r>
      <w:r w:rsidRPr="00C9269E">
        <w:rPr>
          <w:sz w:val="28"/>
          <w:szCs w:val="28"/>
        </w:rPr>
        <w:t>).</w:t>
      </w:r>
    </w:p>
    <w:p w:rsidR="00AF0F9B" w:rsidRPr="00FA218F" w:rsidRDefault="00032DBB" w:rsidP="00AF0F9B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4D1112" w:rsidRDefault="004D1112" w:rsidP="00DF0584">
      <w:pPr>
        <w:ind w:firstLine="709"/>
        <w:jc w:val="both"/>
        <w:rPr>
          <w:sz w:val="28"/>
          <w:szCs w:val="28"/>
        </w:rPr>
      </w:pPr>
      <w:bookmarkStart w:id="0" w:name="z28"/>
      <w:bookmarkEnd w:id="0"/>
    </w:p>
    <w:sectPr w:rsidR="004D1112" w:rsidSect="00BE1F04">
      <w:footerReference w:type="even" r:id="rId16"/>
      <w:footerReference w:type="default" r:id="rId17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BD" w:rsidRDefault="001C16BD">
      <w:r>
        <w:separator/>
      </w:r>
    </w:p>
  </w:endnote>
  <w:endnote w:type="continuationSeparator" w:id="1">
    <w:p w:rsidR="001C16BD" w:rsidRDefault="001C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269E">
      <w:rPr>
        <w:rStyle w:val="a8"/>
        <w:noProof/>
      </w:rPr>
      <w:t>7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BD" w:rsidRDefault="001C16BD">
      <w:r>
        <w:separator/>
      </w:r>
    </w:p>
  </w:footnote>
  <w:footnote w:type="continuationSeparator" w:id="1">
    <w:p w:rsidR="001C16BD" w:rsidRDefault="001C1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B91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0F7BA2"/>
    <w:rsid w:val="0010181E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21C4"/>
    <w:rsid w:val="0015323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6BD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6329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3D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46F1F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3705"/>
    <w:rsid w:val="006D467C"/>
    <w:rsid w:val="006D4DEB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016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4F4B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27B91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B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3A60"/>
    <w:rsid w:val="00B356A4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369B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25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269E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5A61"/>
    <w:rsid w:val="00E96BFF"/>
    <w:rsid w:val="00EA0157"/>
    <w:rsid w:val="00EA0E44"/>
    <w:rsid w:val="00EA1CF2"/>
    <w:rsid w:val="00EA29E0"/>
    <w:rsid w:val="00EA492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06B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yellow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______________________3.xlsm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______________________8.xlsm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______________________9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dLbls>
            <c:dLbl>
              <c:idx val="3"/>
              <c:layout>
                <c:manualLayout>
                  <c:x val="-1.4184397163120564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875</c:v>
                </c:pt>
                <c:pt idx="1">
                  <c:v>94</c:v>
                </c:pt>
                <c:pt idx="2">
                  <c:v>89</c:v>
                </c:pt>
                <c:pt idx="3">
                  <c:v>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dLbls>
            <c:dLbl>
              <c:idx val="3"/>
              <c:layout>
                <c:manualLayout>
                  <c:x val="1.2161751292186093E-2"/>
                  <c:y val="-4.651162790697681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875</c:v>
                </c:pt>
                <c:pt idx="1">
                  <c:v>100</c:v>
                </c:pt>
                <c:pt idx="2">
                  <c:v>87</c:v>
                </c:pt>
                <c:pt idx="3">
                  <c:v>79.099999999999994</c:v>
                </c:pt>
              </c:numCache>
            </c:numRef>
          </c:val>
        </c:ser>
        <c:dLbls>
          <c:showVal val="1"/>
        </c:dLbls>
        <c:axId val="167784832"/>
        <c:axId val="167786368"/>
      </c:barChart>
      <c:catAx>
        <c:axId val="1677848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786368"/>
        <c:crosses val="autoZero"/>
        <c:auto val="1"/>
        <c:lblAlgn val="ctr"/>
        <c:lblOffset val="100"/>
      </c:catAx>
      <c:valAx>
        <c:axId val="167786368"/>
        <c:scaling>
          <c:logBase val="10"/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784832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611444499202239E-2"/>
          <c:y val="5.3020628868382873E-2"/>
          <c:w val="0.90530121398339036"/>
          <c:h val="0.712334829922763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325</c:v>
                </c:pt>
                <c:pt idx="1">
                  <c:v>245</c:v>
                </c:pt>
                <c:pt idx="2">
                  <c:v>305</c:v>
                </c:pt>
                <c:pt idx="3">
                  <c:v>312</c:v>
                </c:pt>
                <c:pt idx="4">
                  <c:v>405</c:v>
                </c:pt>
                <c:pt idx="5">
                  <c:v>279</c:v>
                </c:pt>
                <c:pt idx="6">
                  <c:v>280</c:v>
                </c:pt>
                <c:pt idx="7">
                  <c:v>258</c:v>
                </c:pt>
                <c:pt idx="8">
                  <c:v>298</c:v>
                </c:pt>
                <c:pt idx="9">
                  <c:v>314</c:v>
                </c:pt>
                <c:pt idx="10">
                  <c:v>267</c:v>
                </c:pt>
                <c:pt idx="11">
                  <c:v>367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354</c:v>
                </c:pt>
                <c:pt idx="1">
                  <c:v>261</c:v>
                </c:pt>
                <c:pt idx="2">
                  <c:v>260</c:v>
                </c:pt>
              </c:numCache>
            </c:numRef>
          </c:val>
        </c:ser>
        <c:dLbls>
          <c:showVal val="1"/>
        </c:dLbls>
        <c:axId val="168187008"/>
        <c:axId val="168188928"/>
      </c:barChart>
      <c:catAx>
        <c:axId val="1681870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188928"/>
        <c:crosses val="autoZero"/>
        <c:auto val="1"/>
        <c:lblAlgn val="ctr"/>
        <c:lblOffset val="100"/>
      </c:catAx>
      <c:valAx>
        <c:axId val="168188928"/>
        <c:scaling>
          <c:logBase val="10"/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187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508250825082508E-2"/>
          <c:y val="6.8852459016393475E-2"/>
          <c:w val="0.90099009900990101"/>
          <c:h val="0.70491803278688558"/>
        </c:manualLayout>
      </c:layout>
      <c:barChart>
        <c:barDir val="col"/>
        <c:grouping val="clustered"/>
        <c:ser>
          <c:idx val="1"/>
          <c:order val="0"/>
          <c:tx>
            <c:strRef>
              <c:f>'для Word (2)'!$B$27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tint val="52941"/>
                    <a:invGamma/>
                  </a:srgbClr>
                </a:gs>
                <a:gs pos="100000">
                  <a:srgbClr val="0000FF"/>
                </a:gs>
              </a:gsLst>
              <a:lin ang="0" scaled="1"/>
            </a:gradFill>
            <a:ln w="12704">
              <a:solidFill>
                <a:srgbClr val="000000"/>
              </a:solidFill>
              <a:prstDash val="solid"/>
            </a:ln>
          </c:spPr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(2)'!$B$28:$B$34</c:f>
              <c:numCache>
                <c:formatCode>General</c:formatCode>
                <c:ptCount val="7"/>
                <c:pt idx="0">
                  <c:v>128</c:v>
                </c:pt>
                <c:pt idx="1">
                  <c:v>111</c:v>
                </c:pt>
                <c:pt idx="2">
                  <c:v>110</c:v>
                </c:pt>
                <c:pt idx="3">
                  <c:v>109</c:v>
                </c:pt>
                <c:pt idx="4">
                  <c:v>123</c:v>
                </c:pt>
                <c:pt idx="5">
                  <c:v>147</c:v>
                </c:pt>
                <c:pt idx="6">
                  <c:v>147</c:v>
                </c:pt>
              </c:numCache>
            </c:numRef>
          </c:val>
        </c:ser>
        <c:dLbls>
          <c:showVal val="1"/>
        </c:dLbls>
        <c:gapWidth val="60"/>
        <c:axId val="172426368"/>
        <c:axId val="172427904"/>
      </c:barChart>
      <c:lineChart>
        <c:grouping val="standard"/>
        <c:ser>
          <c:idx val="0"/>
          <c:order val="1"/>
          <c:tx>
            <c:strRef>
              <c:f>'для Word (2)'!$C$27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112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926591253178013E-2"/>
                  <c:y val="-1.215943928063840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926581196995911E-2"/>
                  <c:y val="-7.2922710056728098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9976076091308774E-2"/>
                  <c:y val="-1.090296273618151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9976066035126581E-2"/>
                  <c:y val="-5.2599185598836418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926551028449514E-2"/>
                  <c:y val="-3.0479783078050837E-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4926540972267273E-2"/>
                  <c:y val="-5.2599185598836418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4926530916085136E-2"/>
                  <c:y val="-9.6053553569853886E-3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40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(2)'!$C$28:$C$34</c:f>
              <c:numCache>
                <c:formatCode>General</c:formatCode>
                <c:ptCount val="7"/>
                <c:pt idx="0">
                  <c:v>17</c:v>
                </c:pt>
                <c:pt idx="1">
                  <c:v>10</c:v>
                </c:pt>
                <c:pt idx="2">
                  <c:v>7</c:v>
                </c:pt>
                <c:pt idx="3">
                  <c:v>15</c:v>
                </c:pt>
                <c:pt idx="4">
                  <c:v>18</c:v>
                </c:pt>
                <c:pt idx="5">
                  <c:v>15</c:v>
                </c:pt>
                <c:pt idx="6">
                  <c:v>18</c:v>
                </c:pt>
              </c:numCache>
            </c:numRef>
          </c:val>
        </c:ser>
        <c:dLbls>
          <c:showVal val="1"/>
        </c:dLbls>
        <c:marker val="1"/>
        <c:axId val="172426368"/>
        <c:axId val="172427904"/>
      </c:lineChart>
      <c:lineChart>
        <c:grouping val="standard"/>
        <c:ser>
          <c:idx val="2"/>
          <c:order val="2"/>
          <c:tx>
            <c:strRef>
              <c:f>'для Word (2)'!$D$27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112">
              <a:solidFill>
                <a:srgbClr val="FFFF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325289426768351E-2"/>
                  <c:y val="4.32854045225575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2526599502599453E-2"/>
                  <c:y val="-0.74390424677862754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0975434330905667E-2"/>
                  <c:y val="5.345206948319405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975424274723485E-2"/>
                  <c:y val="5.518239876782969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9226239301049758E-2"/>
                  <c:y val="6.39231398433757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2625569178860947E-2"/>
                  <c:y val="4.984278157173772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925889155682143E-2"/>
                  <c:y val="5.8612098872996531E-2"/>
                </c:manualLayout>
              </c:layout>
              <c:dLblPos val="r"/>
              <c:showVal val="1"/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(2)'!$D$28:$D$34</c:f>
              <c:numCache>
                <c:formatCode>General</c:formatCode>
                <c:ptCount val="7"/>
                <c:pt idx="0">
                  <c:v>5</c:v>
                </c:pt>
                <c:pt idx="1">
                  <c:v>0</c:v>
                </c:pt>
                <c:pt idx="2">
                  <c:v>3</c:v>
                </c:pt>
                <c:pt idx="3">
                  <c:v>8</c:v>
                </c:pt>
                <c:pt idx="4">
                  <c:v>9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</c:ser>
        <c:dLbls>
          <c:showVal val="1"/>
        </c:dLbls>
        <c:marker val="1"/>
        <c:axId val="172477824"/>
        <c:axId val="172481536"/>
      </c:lineChart>
      <c:catAx>
        <c:axId val="172426368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2427904"/>
        <c:crosses val="autoZero"/>
        <c:lblAlgn val="ctr"/>
        <c:lblOffset val="100"/>
        <c:tickLblSkip val="1"/>
        <c:tickMarkSkip val="1"/>
      </c:catAx>
      <c:valAx>
        <c:axId val="172427904"/>
        <c:scaling>
          <c:logBase val="10"/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2426368"/>
        <c:crosses val="autoZero"/>
        <c:crossBetween val="between"/>
      </c:valAx>
      <c:catAx>
        <c:axId val="172477824"/>
        <c:scaling>
          <c:orientation val="minMax"/>
        </c:scaling>
        <c:delete val="1"/>
        <c:axPos val="b"/>
        <c:tickLblPos val="nextTo"/>
        <c:crossAx val="172481536"/>
        <c:crosses val="autoZero"/>
        <c:lblAlgn val="ctr"/>
        <c:lblOffset val="100"/>
      </c:catAx>
      <c:valAx>
        <c:axId val="172481536"/>
        <c:scaling>
          <c:logBase val="10"/>
          <c:orientation val="minMax"/>
        </c:scaling>
        <c:delete val="1"/>
        <c:axPos val="l"/>
        <c:numFmt formatCode="General" sourceLinked="1"/>
        <c:tickLblPos val="nextTo"/>
        <c:crossAx val="172477824"/>
        <c:crosses val="autoZero"/>
        <c:crossBetween val="between"/>
      </c:valAx>
      <c:spPr>
        <a:noFill/>
        <a:ln w="25408">
          <a:noFill/>
        </a:ln>
      </c:spPr>
    </c:plotArea>
    <c:legend>
      <c:legendPos val="b"/>
      <c:layout>
        <c:manualLayout>
          <c:xMode val="edge"/>
          <c:yMode val="edge"/>
          <c:x val="0.15841584158415853"/>
          <c:y val="0.91147540983606556"/>
          <c:w val="0.74752475247524763"/>
          <c:h val="7.8688524590163941E-2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628</c:v>
                </c:pt>
                <c:pt idx="1">
                  <c:v>50</c:v>
                </c:pt>
                <c:pt idx="2">
                  <c:v>72</c:v>
                </c:pt>
                <c:pt idx="3" formatCode="0.0">
                  <c:v>156.19999999999999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609</c:v>
                </c:pt>
                <c:pt idx="1">
                  <c:v>51</c:v>
                </c:pt>
                <c:pt idx="2">
                  <c:v>72</c:v>
                </c:pt>
                <c:pt idx="3" formatCode="0.0">
                  <c:v>47.8</c:v>
                </c:pt>
              </c:numCache>
            </c:numRef>
          </c:val>
        </c:ser>
        <c:dLbls>
          <c:showVal val="1"/>
        </c:dLbls>
        <c:axId val="176861184"/>
        <c:axId val="176863488"/>
      </c:barChart>
      <c:catAx>
        <c:axId val="1768611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6863488"/>
        <c:crosses val="autoZero"/>
        <c:auto val="1"/>
        <c:lblAlgn val="ctr"/>
        <c:lblOffset val="100"/>
      </c:catAx>
      <c:valAx>
        <c:axId val="176863488"/>
        <c:scaling>
          <c:logBase val="10"/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6861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247</c:v>
                </c:pt>
                <c:pt idx="1">
                  <c:v>44</c:v>
                </c:pt>
                <c:pt idx="2">
                  <c:v>17</c:v>
                </c:pt>
                <c:pt idx="3" formatCode="0.0">
                  <c:v>23.8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266</c:v>
                </c:pt>
                <c:pt idx="1">
                  <c:v>49</c:v>
                </c:pt>
                <c:pt idx="2">
                  <c:v>15</c:v>
                </c:pt>
                <c:pt idx="3" formatCode="0.0">
                  <c:v>31.3</c:v>
                </c:pt>
              </c:numCache>
            </c:numRef>
          </c:val>
        </c:ser>
        <c:dLbls>
          <c:showVal val="1"/>
        </c:dLbls>
        <c:axId val="177311744"/>
        <c:axId val="177313664"/>
      </c:barChart>
      <c:catAx>
        <c:axId val="1773117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313664"/>
        <c:crosses val="autoZero"/>
        <c:auto val="1"/>
        <c:lblAlgn val="ctr"/>
        <c:lblOffset val="100"/>
      </c:catAx>
      <c:valAx>
        <c:axId val="177313664"/>
        <c:scaling>
          <c:logBase val="10"/>
          <c:orientation val="minMax"/>
        </c:scaling>
        <c:axPos val="l"/>
        <c:numFmt formatCode="0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3117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70"/>
      <c:perspective val="30"/>
    </c:view3D>
    <c:plotArea>
      <c:layout>
        <c:manualLayout>
          <c:layoutTarget val="inner"/>
          <c:xMode val="edge"/>
          <c:yMode val="edge"/>
          <c:x val="1.5874903854540837E-4"/>
          <c:y val="5.2014821676702183E-2"/>
          <c:w val="0.95337171222177375"/>
          <c:h val="0.80778869359596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6.6159970184995753E-2"/>
                  <c:y val="8.866194051324993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347693698408552E-3"/>
                  <c:y val="-0.1084210985254750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000142731403284E-2"/>
                  <c:y val="-2.145080702121540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936579679805894E-2"/>
                  <c:y val="0.16292672718235801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8360967718914307E-2"/>
                  <c:y val="0.3255057071354458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9379435576595223E-2"/>
                  <c:y val="0.21337902529625657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093637972932833E-2"/>
                  <c:y val="3.431134575670304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528387064026344"/>
                  <c:y val="-3.1408999571648001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строящиеся</c:v>
                </c:pt>
                <c:pt idx="6">
                  <c:v>транспорт</c:v>
                </c:pt>
                <c:pt idx="7">
                  <c:v>прочие</c:v>
                </c:pt>
                <c:pt idx="8">
                  <c:v>сооружения, 
установки</c:v>
                </c:pt>
                <c:pt idx="9">
                  <c:v>открытые 
территории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655</c:v>
                </c:pt>
                <c:pt idx="1">
                  <c:v>35</c:v>
                </c:pt>
                <c:pt idx="2">
                  <c:v>15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121</c:v>
                </c:pt>
                <c:pt idx="7">
                  <c:v>36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Val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00"/>
      <c:perspective val="30"/>
    </c:view3D>
    <c:plotArea>
      <c:layout>
        <c:manualLayout>
          <c:layoutTarget val="inner"/>
          <c:xMode val="edge"/>
          <c:yMode val="edge"/>
          <c:x val="9.3674057613963954E-2"/>
          <c:y val="0.1069416688879124"/>
          <c:w val="0.80447176464905079"/>
          <c:h val="0.683199746417791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spPr>
              <a:gradFill>
                <a:gsLst>
                  <a:gs pos="0">
                    <a:srgbClr val="EE4A00"/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EE4A00"/>
                  </a:gs>
                </a:gsLst>
                <a:lin ang="5400000" scaled="1"/>
              </a:gradFill>
            </c:spPr>
          </c:dPt>
          <c:dPt>
            <c:idx val="6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7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8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9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2.8371415229538031E-2"/>
                  <c:y val="6.7467047388307291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105534354218004"/>
                  <c:y val="0.10347985347985347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520135903257495E-2"/>
                  <c:y val="-4.050330247180639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2658325684747E-2"/>
                  <c:y val="1.3439762337400133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257717018501575E-3"/>
                  <c:y val="6.4542412967609819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78851263224E-2"/>
                  <c:y val="6.3037985636410832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331948537107712E-2"/>
                  <c:y val="9.1964465980214183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прочие</c:v>
                </c:pt>
                <c:pt idx="6">
                  <c:v>нарушение технологии </c:v>
                </c:pt>
                <c:pt idx="7">
                  <c:v>не установлено</c:v>
                </c:pt>
                <c:pt idx="8">
                  <c:v>теплогенерир-ие установки</c:v>
                </c:pt>
                <c:pt idx="9">
                  <c:v>сварочные и огневые работы</c:v>
                </c:pt>
                <c:pt idx="10">
                  <c:v>НПУиЭ газового оборудования 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164</c:v>
                </c:pt>
                <c:pt idx="1">
                  <c:v>290</c:v>
                </c:pt>
                <c:pt idx="2">
                  <c:v>177</c:v>
                </c:pt>
                <c:pt idx="3">
                  <c:v>75</c:v>
                </c:pt>
                <c:pt idx="4">
                  <c:v>142</c:v>
                </c:pt>
                <c:pt idx="5">
                  <c:v>11</c:v>
                </c:pt>
                <c:pt idx="6">
                  <c:v>4</c:v>
                </c:pt>
                <c:pt idx="7">
                  <c:v>3</c:v>
                </c:pt>
                <c:pt idx="8">
                  <c:v>0</c:v>
                </c:pt>
                <c:pt idx="9">
                  <c:v>4</c:v>
                </c:pt>
                <c:pt idx="10" formatCode="General">
                  <c:v>5</c:v>
                </c:pt>
              </c:numCache>
            </c:numRef>
          </c:val>
        </c:ser>
        <c:dLbls>
          <c:showVal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016393442622987E-2"/>
          <c:y val="7.046979865771813E-2"/>
          <c:w val="0.92459016393442628"/>
          <c:h val="0.66107382550335592"/>
        </c:manualLayout>
      </c:layout>
      <c:barChart>
        <c:barDir val="col"/>
        <c:grouping val="clustered"/>
        <c:ser>
          <c:idx val="1"/>
          <c:order val="0"/>
          <c:tx>
            <c:strRef>
              <c:f>'для Word (2)'!$B$90</c:f>
              <c:strCache>
                <c:ptCount val="1"/>
                <c:pt idx="0">
                  <c:v>Погибло всего, чел</c:v>
                </c:pt>
              </c:strCache>
            </c:strRef>
          </c:tx>
          <c:spPr>
            <a:gradFill rotWithShape="0">
              <a:gsLst>
                <a:gs pos="0">
                  <a:srgbClr val="808000"/>
                </a:gs>
                <a:gs pos="50000">
                  <a:srgbClr val="808000">
                    <a:gamma/>
                    <a:tint val="45882"/>
                    <a:invGamma/>
                  </a:srgbClr>
                </a:gs>
                <a:gs pos="100000">
                  <a:srgbClr val="808000"/>
                </a:gs>
              </a:gsLst>
              <a:lin ang="0" scaled="1"/>
            </a:gradFill>
            <a:ln w="12702">
              <a:solidFill>
                <a:srgbClr val="000000"/>
              </a:solidFill>
              <a:prstDash val="solid"/>
            </a:ln>
          </c:spPr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(2)'!$B$91:$B$102</c:f>
              <c:numCache>
                <c:formatCode>General</c:formatCode>
                <c:ptCount val="12"/>
                <c:pt idx="0">
                  <c:v>16</c:v>
                </c:pt>
                <c:pt idx="1">
                  <c:v>12</c:v>
                </c:pt>
                <c:pt idx="2">
                  <c:v>9</c:v>
                </c:pt>
                <c:pt idx="3">
                  <c:v>4</c:v>
                </c:pt>
                <c:pt idx="4">
                  <c:v>15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  <c:pt idx="8">
                  <c:v>7</c:v>
                </c:pt>
                <c:pt idx="9">
                  <c:v>12</c:v>
                </c:pt>
                <c:pt idx="10">
                  <c:v>8</c:v>
                </c:pt>
                <c:pt idx="11">
                  <c:v>6</c:v>
                </c:pt>
              </c:numCache>
            </c:numRef>
          </c:val>
        </c:ser>
        <c:dLbls>
          <c:showVal val="1"/>
        </c:dLbls>
        <c:gapWidth val="30"/>
        <c:axId val="187627776"/>
        <c:axId val="188127872"/>
      </c:barChart>
      <c:lineChart>
        <c:grouping val="standard"/>
        <c:ser>
          <c:idx val="0"/>
          <c:order val="1"/>
          <c:tx>
            <c:strRef>
              <c:f>'для Word (2)'!$C$90</c:f>
              <c:strCache>
                <c:ptCount val="1"/>
                <c:pt idx="0">
                  <c:v>В состоянии алкогольного опьянения,чел</c:v>
                </c:pt>
              </c:strCache>
            </c:strRef>
          </c:tx>
          <c:spPr>
            <a:ln w="38107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2.1904437752088331E-2"/>
                  <c:y val="-8.3936484655457392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0265082464192098E-2"/>
                  <c:y val="-8.5800375533599989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190441570088603E-2"/>
                  <c:y val="-1.212246350603498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3707683363809319E-2"/>
                  <c:y val="-4.8515546797445195E-3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0428983813618122E-2"/>
                  <c:y val="-1.212246350603498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3707661312607231E-2"/>
                  <c:y val="-4.4787765041158951E-3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8625683073891005E-2"/>
                  <c:y val="-8.0208702899167792E-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6986327785994983E-2"/>
                  <c:y val="-8.5800375533599989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0265005284983813E-2"/>
                  <c:y val="-7.8344812021026323E-3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0264994259383069E-2"/>
                  <c:y val="-2.6145166755182042E-3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0264983233781772E-2"/>
                  <c:y val="-1.4958499817578914E-3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0264972208180479E-2"/>
                  <c:y val="-1.4958499817578914E-3"/>
                </c:manualLayout>
              </c:layout>
              <c:dLblPos val="r"/>
              <c:showVal val="1"/>
            </c:dLbl>
            <c:spPr>
              <a:solidFill>
                <a:srgbClr val="CCFFFF"/>
              </a:solidFill>
              <a:ln w="2540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(2)'!$C$91:$C$102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0</c:v>
                </c:pt>
                <c:pt idx="9">
                  <c:v>8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dLbls>
          <c:showVal val="1"/>
        </c:dLbls>
        <c:marker val="1"/>
        <c:axId val="194385408"/>
        <c:axId val="185385344"/>
      </c:lineChart>
      <c:catAx>
        <c:axId val="187627776"/>
        <c:scaling>
          <c:orientation val="minMax"/>
        </c:scaling>
        <c:axPos val="b"/>
        <c:numFmt formatCode="@" sourceLinked="1"/>
        <c:majorTickMark val="cross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8127872"/>
        <c:crosses val="autoZero"/>
        <c:lblAlgn val="ctr"/>
        <c:lblOffset val="100"/>
        <c:tickLblSkip val="1"/>
        <c:tickMarkSkip val="1"/>
      </c:catAx>
      <c:valAx>
        <c:axId val="18812787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7627776"/>
        <c:crosses val="autoZero"/>
        <c:crossBetween val="between"/>
      </c:valAx>
      <c:catAx>
        <c:axId val="194385408"/>
        <c:scaling>
          <c:orientation val="minMax"/>
        </c:scaling>
        <c:delete val="1"/>
        <c:axPos val="b"/>
        <c:tickLblPos val="nextTo"/>
        <c:crossAx val="185385344"/>
        <c:crosses val="autoZero"/>
        <c:lblAlgn val="ctr"/>
        <c:lblOffset val="100"/>
      </c:catAx>
      <c:valAx>
        <c:axId val="185385344"/>
        <c:scaling>
          <c:orientation val="minMax"/>
        </c:scaling>
        <c:delete val="1"/>
        <c:axPos val="l"/>
        <c:numFmt formatCode="General" sourceLinked="1"/>
        <c:tickLblPos val="nextTo"/>
        <c:crossAx val="194385408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>
        <c:manualLayout>
          <c:xMode val="edge"/>
          <c:yMode val="edge"/>
          <c:x val="0.16393442622950818"/>
          <c:y val="0.9093959731543626"/>
          <c:w val="0.71311475409836067"/>
          <c:h val="8.0536912751677903E-2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786407766990292"/>
          <c:y val="3.2051282051282055E-2"/>
          <c:w val="0.65210355987055013"/>
          <c:h val="0.84935897435897456"/>
        </c:manualLayout>
      </c:layout>
      <c:barChart>
        <c:barDir val="bar"/>
        <c:grouping val="clustered"/>
        <c:ser>
          <c:idx val="0"/>
          <c:order val="0"/>
          <c:tx>
            <c:strRef>
              <c:f>'для Word (2)'!$B$134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9999FF">
                    <a:gamma/>
                    <a:tint val="25098"/>
                    <a:invGamma/>
                  </a:srgbClr>
                </a:gs>
                <a:gs pos="100000">
                  <a:srgbClr val="9999FF"/>
                </a:gs>
              </a:gsLst>
              <a:lin ang="5400000" scaled="1"/>
            </a:gradFill>
            <a:ln w="12717">
              <a:solidFill>
                <a:srgbClr val="000000"/>
              </a:solidFill>
              <a:prstDash val="solid"/>
            </a:ln>
          </c:spPr>
          <c:dLbls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(2)'!$B$135:$B$141</c:f>
              <c:numCache>
                <c:formatCode>General</c:formatCode>
                <c:ptCount val="7"/>
                <c:pt idx="0">
                  <c:v>70</c:v>
                </c:pt>
                <c:pt idx="1">
                  <c:v>11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'для Word (2)'!$C$134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7451"/>
                    <a:invGamma/>
                  </a:srgbClr>
                </a:gs>
                <a:gs pos="100000">
                  <a:srgbClr val="FF0000"/>
                </a:gs>
              </a:gsLst>
              <a:lin ang="5400000" scaled="1"/>
            </a:gradFill>
            <a:ln w="12717">
              <a:solidFill>
                <a:srgbClr val="000000"/>
              </a:solidFill>
              <a:prstDash val="solid"/>
            </a:ln>
          </c:spPr>
          <c:dLbls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(2)'!$C$135:$C$141</c:f>
              <c:numCache>
                <c:formatCode>General</c:formatCode>
                <c:ptCount val="7"/>
                <c:pt idx="0">
                  <c:v>60</c:v>
                </c:pt>
                <c:pt idx="1">
                  <c:v>27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13</c:v>
                </c:pt>
              </c:numCache>
            </c:numRef>
          </c:val>
        </c:ser>
        <c:dLbls>
          <c:showVal val="1"/>
        </c:dLbls>
        <c:axId val="185705600"/>
        <c:axId val="185707136"/>
      </c:barChart>
      <c:catAx>
        <c:axId val="185705600"/>
        <c:scaling>
          <c:orientation val="minMax"/>
        </c:scaling>
        <c:axPos val="l"/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5707136"/>
        <c:crosses val="autoZero"/>
        <c:auto val="1"/>
        <c:lblAlgn val="ctr"/>
        <c:lblOffset val="100"/>
        <c:tickLblSkip val="1"/>
        <c:tickMarkSkip val="1"/>
      </c:catAx>
      <c:valAx>
        <c:axId val="185707136"/>
        <c:scaling>
          <c:orientation val="minMax"/>
        </c:scaling>
        <c:axPos val="b"/>
        <c:majorGridlines>
          <c:spPr>
            <a:ln w="317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5705600"/>
        <c:crosses val="autoZero"/>
        <c:crossBetween val="between"/>
        <c:majorUnit val="50"/>
        <c:minorUnit val="10"/>
      </c:valAx>
      <c:spPr>
        <a:noFill/>
        <a:ln w="25435">
          <a:noFill/>
        </a:ln>
      </c:spPr>
    </c:plotArea>
    <c:legend>
      <c:legendPos val="r"/>
      <c:layout>
        <c:manualLayout>
          <c:xMode val="edge"/>
          <c:yMode val="edge"/>
          <c:x val="0.92556634304207097"/>
          <c:y val="0.39423076923076944"/>
          <c:w val="6.7961165048543729E-2"/>
          <c:h val="0.125"/>
        </c:manualLayout>
      </c:layout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9">
      <a:solidFill>
        <a:srgbClr val="000000"/>
      </a:solidFill>
      <a:prstDash val="solid"/>
    </a:ln>
  </c:spPr>
  <c:txPr>
    <a:bodyPr/>
    <a:lstStyle/>
    <a:p>
      <a:pPr>
        <a:defRPr sz="8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0.12399</cdr:x>
      <cdr:y>0.61079</cdr:y>
    </cdr:from>
    <cdr:to>
      <cdr:x>0.25443</cdr:x>
      <cdr:y>0.71139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76835" y="1667760"/>
          <a:ext cx="817296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0.35634</cdr:x>
      <cdr:y>0.60486</cdr:y>
    </cdr:from>
    <cdr:to>
      <cdr:x>0.47492</cdr:x>
      <cdr:y>0.70547</cdr:y>
    </cdr:to>
    <cdr:sp macro="" textlink="">
      <cdr:nvSpPr>
        <cdr:cNvPr id="13" name="TextBox 3"/>
        <cdr:cNvSpPr txBox="1"/>
      </cdr:nvSpPr>
      <cdr:spPr>
        <a:xfrm xmlns:a="http://schemas.openxmlformats.org/drawingml/2006/main">
          <a:off x="2232639" y="1651577"/>
          <a:ext cx="742969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+6,4%</a:t>
          </a:r>
        </a:p>
      </cdr:txBody>
    </cdr:sp>
  </cdr:relSizeAnchor>
  <cdr:relSizeAnchor xmlns:cdr="http://schemas.openxmlformats.org/drawingml/2006/chartDrawing">
    <cdr:from>
      <cdr:x>0.80724</cdr:x>
      <cdr:y>0.60783</cdr:y>
    </cdr:from>
    <cdr:to>
      <cdr:x>0.92429</cdr:x>
      <cdr:y>0.70843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5057799" y="1659669"/>
          <a:ext cx="733382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-56,1%</a:t>
          </a:r>
        </a:p>
      </cdr:txBody>
    </cdr:sp>
  </cdr:relSizeAnchor>
  <cdr:relSizeAnchor xmlns:cdr="http://schemas.openxmlformats.org/drawingml/2006/chartDrawing">
    <cdr:from>
      <cdr:x>0.82608</cdr:x>
      <cdr:y>0.48537</cdr:y>
    </cdr:from>
    <cdr:to>
      <cdr:x>0.91603</cdr:x>
      <cdr:y>0.56077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841" y="1325306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0.58307</cdr:x>
      <cdr:y>0.61026</cdr:y>
    </cdr:from>
    <cdr:to>
      <cdr:x>0.70165</cdr:x>
      <cdr:y>0.71087</cdr:y>
    </cdr:to>
    <cdr:sp macro="" textlink="">
      <cdr:nvSpPr>
        <cdr:cNvPr id="10" name="TextBox 3"/>
        <cdr:cNvSpPr txBox="1"/>
      </cdr:nvSpPr>
      <cdr:spPr>
        <a:xfrm xmlns:a="http://schemas.openxmlformats.org/drawingml/2006/main">
          <a:off x="3653280" y="1666323"/>
          <a:ext cx="742968" cy="2747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-2,2%</a:t>
          </a:r>
        </a:p>
      </cdr:txBody>
    </cdr:sp>
  </cdr:relSizeAnchor>
  <cdr:relSizeAnchor xmlns:cdr="http://schemas.openxmlformats.org/drawingml/2006/chartDrawing">
    <cdr:from>
      <cdr:x>0.59877</cdr:x>
      <cdr:y>0.48833</cdr:y>
    </cdr:from>
    <cdr:to>
      <cdr:x>0.68872</cdr:x>
      <cdr:y>0.56373</cdr:y>
    </cdr:to>
    <cdr:sp macro="" textlink="">
      <cdr:nvSpPr>
        <cdr:cNvPr id="7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51643" y="1333398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0.08278</cdr:x>
      <cdr:y>0.65122</cdr:y>
    </cdr:from>
    <cdr:to>
      <cdr:x>0.15546</cdr:x>
      <cdr:y>0.71275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22390" y="1731846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+8,9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0.15674</cdr:x>
      <cdr:y>0.65122</cdr:y>
    </cdr:from>
    <cdr:to>
      <cdr:x>0.22942</cdr:x>
      <cdr:y>0.71275</cdr:y>
    </cdr:to>
    <cdr:sp macro="" textlink="">
      <cdr:nvSpPr>
        <cdr:cNvPr id="4" name="TextBox 8"/>
        <cdr:cNvSpPr txBox="1"/>
      </cdr:nvSpPr>
      <cdr:spPr>
        <a:xfrm xmlns:a="http://schemas.openxmlformats.org/drawingml/2006/main">
          <a:off x="989115" y="1731846"/>
          <a:ext cx="458656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+6,5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0.23864</cdr:x>
      <cdr:y>0.65122</cdr:y>
    </cdr:from>
    <cdr:to>
      <cdr:x>0.31132</cdr:x>
      <cdr:y>0.71275</cdr:y>
    </cdr:to>
    <cdr:sp macro="" textlink="">
      <cdr:nvSpPr>
        <cdr:cNvPr id="5" name="TextBox 8"/>
        <cdr:cNvSpPr txBox="1"/>
      </cdr:nvSpPr>
      <cdr:spPr>
        <a:xfrm xmlns:a="http://schemas.openxmlformats.org/drawingml/2006/main">
          <a:off x="1505963" y="1731841"/>
          <a:ext cx="458657" cy="1636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-14,8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0.13851</cdr:x>
      <cdr:y>0.61313</cdr:y>
    </cdr:from>
    <cdr:to>
      <cdr:x>0.24843</cdr:x>
      <cdr:y>0.71373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67825" y="1674050"/>
          <a:ext cx="688712" cy="27467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0.3596</cdr:x>
      <cdr:y>0.61121</cdr:y>
    </cdr:from>
    <cdr:to>
      <cdr:x>0.46952</cdr:x>
      <cdr:y>0.71182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53128" y="1668798"/>
          <a:ext cx="688712" cy="274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+2,0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0.57085</cdr:x>
      <cdr:y>0.61122</cdr:y>
    </cdr:from>
    <cdr:to>
      <cdr:x>0.70904</cdr:x>
      <cdr:y>0.71182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576680" y="1668836"/>
          <a:ext cx="865847" cy="27467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0.82606</cdr:x>
      <cdr:y>0.50977</cdr:y>
    </cdr:from>
    <cdr:to>
      <cdr:x>0.91601</cdr:x>
      <cdr:y>0.58517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738" y="1391831"/>
          <a:ext cx="563589" cy="20586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0.81211</cdr:x>
      <cdr:y>0.61122</cdr:y>
    </cdr:from>
    <cdr:to>
      <cdr:x>0.92203</cdr:x>
      <cdr:y>0.71182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5088334" y="1668836"/>
          <a:ext cx="688711" cy="27467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-47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0.15202</cdr:x>
      <cdr:y>0.50088</cdr:y>
    </cdr:from>
    <cdr:to>
      <cdr:x>0.24197</cdr:x>
      <cdr:y>0.57628</cdr:y>
    </cdr:to>
    <cdr:sp macro="" textlink="">
      <cdr:nvSpPr>
        <cdr:cNvPr id="7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52488" y="1367554"/>
          <a:ext cx="563589" cy="20586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0.13652</cdr:x>
      <cdr:y>0.6178</cdr:y>
    </cdr:from>
    <cdr:to>
      <cdr:x>0.24644</cdr:x>
      <cdr:y>0.7184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55375" y="1686790"/>
          <a:ext cx="688712" cy="27467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0.36151</cdr:x>
      <cdr:y>0.62547</cdr:y>
    </cdr:from>
    <cdr:to>
      <cdr:x>0.47143</cdr:x>
      <cdr:y>0.72608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65066" y="1707737"/>
          <a:ext cx="688712" cy="2746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+11,4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0.58696</cdr:x>
      <cdr:y>0.62252</cdr:y>
    </cdr:from>
    <cdr:to>
      <cdr:x>0.69688</cdr:x>
      <cdr:y>0.72312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77639" y="1699682"/>
          <a:ext cx="688711" cy="27467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-11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0.60065</cdr:x>
      <cdr:y>0.51337</cdr:y>
    </cdr:from>
    <cdr:to>
      <cdr:x>0.6906</cdr:x>
      <cdr:y>0.58877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63397" y="1401672"/>
          <a:ext cx="563589" cy="20586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0.81356</cdr:x>
      <cdr:y>0.61921</cdr:y>
    </cdr:from>
    <cdr:to>
      <cdr:x>0.92347</cdr:x>
      <cdr:y>0.71981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5097388" y="1690629"/>
          <a:ext cx="688711" cy="27467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+31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Analiz_CO_gubernator_.dot</Template>
  <TotalTime>31</TotalTime>
  <Pages>8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admin</dc:creator>
  <cp:lastModifiedBy>S</cp:lastModifiedBy>
  <cp:revision>14</cp:revision>
  <cp:lastPrinted>2011-05-18T05:05:00Z</cp:lastPrinted>
  <dcterms:created xsi:type="dcterms:W3CDTF">2018-04-04T18:02:00Z</dcterms:created>
  <dcterms:modified xsi:type="dcterms:W3CDTF">2018-04-04T18:39:00Z</dcterms:modified>
</cp:coreProperties>
</file>